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0E476" w14:textId="73B6AB53" w:rsidR="005826E4" w:rsidRPr="005826E4" w:rsidRDefault="005826E4" w:rsidP="005826E4">
      <w:pPr>
        <w:tabs>
          <w:tab w:val="center" w:pos="4153"/>
          <w:tab w:val="right" w:pos="7088"/>
          <w:tab w:val="right" w:pos="9781"/>
        </w:tabs>
        <w:overflowPunct/>
        <w:autoSpaceDE/>
        <w:autoSpaceDN/>
        <w:adjustRightInd/>
        <w:spacing w:after="0"/>
        <w:textAlignment w:val="auto"/>
        <w:rPr>
          <w:rFonts w:ascii="Arial" w:eastAsia="等线" w:hAnsi="Arial" w:cs="Arial"/>
          <w:b/>
          <w:bCs/>
          <w:sz w:val="22"/>
          <w:lang w:eastAsia="en-US"/>
        </w:rPr>
      </w:pPr>
      <w:r w:rsidRPr="005826E4">
        <w:rPr>
          <w:rFonts w:ascii="Arial" w:eastAsia="等线" w:hAnsi="Arial" w:cs="Arial"/>
          <w:b/>
          <w:bCs/>
          <w:sz w:val="22"/>
          <w:lang w:eastAsia="en-US"/>
        </w:rPr>
        <w:t>3GPP TSG-RAN5 Meeting #99</w:t>
      </w:r>
      <w:r w:rsidRPr="005826E4">
        <w:rPr>
          <w:rFonts w:ascii="Arial" w:eastAsia="等线" w:hAnsi="Arial" w:cs="Arial"/>
          <w:b/>
          <w:bCs/>
          <w:sz w:val="22"/>
          <w:lang w:eastAsia="en-US"/>
        </w:rPr>
        <w:tab/>
      </w:r>
      <w:r w:rsidRPr="005826E4">
        <w:rPr>
          <w:rFonts w:ascii="Arial" w:eastAsia="等线" w:hAnsi="Arial" w:cs="Arial"/>
          <w:b/>
          <w:bCs/>
          <w:sz w:val="22"/>
          <w:lang w:eastAsia="en-US"/>
        </w:rPr>
        <w:tab/>
      </w:r>
      <w:r w:rsidRPr="005826E4">
        <w:rPr>
          <w:rFonts w:ascii="Arial" w:eastAsia="等线" w:hAnsi="Arial" w:cs="Arial"/>
          <w:b/>
          <w:bCs/>
          <w:sz w:val="22"/>
          <w:lang w:eastAsia="en-US"/>
        </w:rPr>
        <w:tab/>
        <w:t>R5-23</w:t>
      </w:r>
      <w:r>
        <w:rPr>
          <w:rFonts w:ascii="Arial" w:eastAsia="等线" w:hAnsi="Arial" w:cs="Arial"/>
          <w:b/>
          <w:bCs/>
          <w:sz w:val="22"/>
          <w:lang w:eastAsia="en-US"/>
        </w:rPr>
        <w:t>2512</w:t>
      </w:r>
    </w:p>
    <w:p w14:paraId="08796B52" w14:textId="77777777" w:rsidR="005826E4" w:rsidRPr="005826E4" w:rsidRDefault="005826E4" w:rsidP="005826E4">
      <w:pPr>
        <w:tabs>
          <w:tab w:val="center" w:pos="4153"/>
          <w:tab w:val="right" w:pos="9639"/>
        </w:tabs>
        <w:overflowPunct/>
        <w:autoSpaceDE/>
        <w:autoSpaceDN/>
        <w:adjustRightInd/>
        <w:spacing w:after="0"/>
        <w:textAlignment w:val="auto"/>
        <w:rPr>
          <w:rFonts w:ascii="Arial" w:eastAsia="等线" w:hAnsi="Arial" w:cs="Arial"/>
          <w:b/>
          <w:bCs/>
          <w:sz w:val="22"/>
          <w:lang w:eastAsia="en-US"/>
        </w:rPr>
      </w:pPr>
      <w:r w:rsidRPr="005826E4">
        <w:rPr>
          <w:rFonts w:ascii="Arial" w:eastAsia="等线" w:hAnsi="Arial" w:cs="Arial"/>
          <w:b/>
          <w:bCs/>
          <w:sz w:val="22"/>
          <w:lang w:eastAsia="en-US"/>
        </w:rPr>
        <w:t>Incheon, Korea, May 22th - 26th, 2023</w:t>
      </w:r>
    </w:p>
    <w:p w14:paraId="7770636B" w14:textId="77777777" w:rsidR="005826E4" w:rsidRDefault="005826E4" w:rsidP="00C445AD">
      <w:pPr>
        <w:pStyle w:val="FP"/>
        <w:tabs>
          <w:tab w:val="left" w:pos="567"/>
        </w:tabs>
        <w:rPr>
          <w:rFonts w:ascii="Arial" w:hAnsi="Arial" w:cs="Arial"/>
          <w:b/>
          <w:sz w:val="24"/>
          <w:szCs w:val="24"/>
        </w:rPr>
      </w:pPr>
    </w:p>
    <w:p w14:paraId="0FC0DC64" w14:textId="4D7AB4A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8052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Pr>
                <w:rFonts w:asciiTheme="minorEastAsia" w:eastAsiaTheme="minorEastAsia" w:hAnsiTheme="minorEastAsia" w:cs="Arial" w:hint="eastAsia"/>
                <w:lang w:eastAsia="zh-CN"/>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1049F0F4" w14:textId="77777777" w:rsidR="005826E4" w:rsidRDefault="00871653" w:rsidP="008836AC">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005826E4">
              <w:rPr>
                <w:rFonts w:ascii="Arial" w:hAnsi="Arial" w:cs="Arial"/>
                <w:color w:val="00B050"/>
                <w:kern w:val="2"/>
                <w:sz w:val="21"/>
                <w:szCs w:val="22"/>
                <w:lang w:val="en-US" w:eastAsia="ja-JP"/>
              </w:rPr>
              <w:t>Dec</w:t>
            </w:r>
            <w:r w:rsidR="005826E4" w:rsidRPr="00AB057D">
              <w:rPr>
                <w:rFonts w:ascii="Arial" w:hAnsi="Arial" w:cs="Arial"/>
                <w:color w:val="00B050"/>
                <w:kern w:val="2"/>
                <w:sz w:val="21"/>
                <w:szCs w:val="22"/>
                <w:lang w:val="en-US" w:eastAsia="ja-JP"/>
              </w:rPr>
              <w:t xml:space="preserve"> 202</w:t>
            </w:r>
            <w:r w:rsidR="005826E4">
              <w:rPr>
                <w:rFonts w:ascii="Arial" w:hAnsi="Arial" w:cs="Arial"/>
                <w:color w:val="00B050"/>
                <w:kern w:val="2"/>
                <w:sz w:val="21"/>
                <w:szCs w:val="22"/>
                <w:lang w:val="en-US" w:eastAsia="ja-JP"/>
              </w:rPr>
              <w:t>3</w:t>
            </w:r>
            <w:r w:rsidR="005826E4">
              <w:rPr>
                <w:rFonts w:ascii="Arial" w:hAnsi="Arial" w:cs="Arial"/>
                <w:color w:val="00B050"/>
                <w:kern w:val="2"/>
                <w:sz w:val="21"/>
                <w:szCs w:val="22"/>
                <w:lang w:val="en-US" w:eastAsia="ja-JP"/>
              </w:rPr>
              <w:t xml:space="preserve"> </w:t>
            </w:r>
          </w:p>
          <w:p w14:paraId="5BB6B905" w14:textId="56BC4904" w:rsidR="00871653" w:rsidRPr="006A7BCB" w:rsidRDefault="005826E4"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 months)</w:t>
            </w:r>
          </w:p>
        </w:tc>
        <w:bookmarkStart w:id="0" w:name="_GoBack"/>
        <w:bookmarkEnd w:id="0"/>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3A5FA99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63</w:t>
            </w:r>
            <w:r w:rsidRPr="005826E4">
              <w:rPr>
                <w:rFonts w:ascii="Arial" w:hAnsi="Arial" w:cs="Arial"/>
                <w:color w:val="00B050"/>
                <w:kern w:val="2"/>
                <w:sz w:val="21"/>
                <w:szCs w:val="22"/>
                <w:lang w:val="en-US" w:eastAsia="ja-JP"/>
              </w:rPr>
              <w:t>%</w:t>
            </w:r>
            <w:r w:rsidR="005826E4" w:rsidRPr="005826E4">
              <w:rPr>
                <w:rFonts w:ascii="Arial" w:hAnsi="Arial" w:cs="Arial"/>
                <w:color w:val="00B050"/>
                <w:kern w:val="2"/>
                <w:sz w:val="21"/>
                <w:szCs w:val="22"/>
                <w:lang w:val="en-US"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4"/>
        <w:rPr>
          <w:lang w:eastAsia="ja-JP"/>
        </w:rPr>
      </w:pPr>
      <w:r>
        <w:rPr>
          <w:lang w:eastAsia="ja-JP"/>
        </w:rPr>
        <w:t>2.5.1</w:t>
      </w:r>
      <w:r>
        <w:rPr>
          <w:lang w:eastAsia="ja-JP"/>
        </w:rPr>
        <w:tab/>
        <w:t>Agreements</w:t>
      </w:r>
    </w:p>
    <w:p w14:paraId="766B66BF" w14:textId="77777777" w:rsidR="005826E4" w:rsidRDefault="005826E4" w:rsidP="005826E4">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1151AEF1" w14:textId="473E5AD8"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w:t>
      </w:r>
      <w:r w:rsidR="00E1333B">
        <w:rPr>
          <w:rFonts w:eastAsiaTheme="minorEastAsia"/>
          <w:lang w:val="en-US" w:eastAsia="zh-CN"/>
        </w:rPr>
        <w:t>10</w:t>
      </w:r>
      <w:r>
        <w:rPr>
          <w:rFonts w:eastAsiaTheme="minorEastAsia"/>
          <w:lang w:val="en-US" w:eastAsia="zh-CN"/>
        </w:rPr>
        <w:t>].</w:t>
      </w:r>
    </w:p>
    <w:p w14:paraId="05B10947" w14:textId="77777777" w:rsidR="005826E4" w:rsidRDefault="005826E4" w:rsidP="005826E4">
      <w:pPr>
        <w:rPr>
          <w:rFonts w:eastAsiaTheme="minorEastAsia"/>
          <w:lang w:val="en-US" w:eastAsia="zh-CN"/>
        </w:rPr>
      </w:pPr>
      <w:r>
        <w:rPr>
          <w:rFonts w:eastAsiaTheme="minorEastAsia"/>
          <w:lang w:val="en-US" w:eastAsia="zh-CN"/>
        </w:rPr>
        <w:t>Common test environment:</w:t>
      </w:r>
    </w:p>
    <w:p w14:paraId="73BDA555" w14:textId="70B7A86A"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t>Default configurations of some RRC IE are updated in [6].</w:t>
      </w:r>
    </w:p>
    <w:p w14:paraId="4D7CA517" w14:textId="77777777" w:rsidR="005826E4" w:rsidRDefault="005826E4" w:rsidP="005826E4">
      <w:pPr>
        <w:rPr>
          <w:rFonts w:eastAsiaTheme="minorEastAsia"/>
          <w:lang w:val="en-US" w:eastAsia="zh-CN"/>
        </w:rPr>
      </w:pPr>
      <w:r>
        <w:rPr>
          <w:rFonts w:eastAsiaTheme="minorEastAsia"/>
          <w:lang w:val="en-US" w:eastAsia="zh-CN"/>
        </w:rPr>
        <w:t>RF Testing:</w:t>
      </w:r>
    </w:p>
    <w:p w14:paraId="41D63CE5" w14:textId="3CE3B699"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E1333B">
        <w:rPr>
          <w:rFonts w:eastAsiaTheme="minorEastAsia"/>
          <w:lang w:val="en-US" w:eastAsia="zh-CN"/>
        </w:rPr>
        <w:t xml:space="preserve">A new RF </w:t>
      </w:r>
      <w:r>
        <w:rPr>
          <w:rFonts w:eastAsiaTheme="minorEastAsia"/>
          <w:lang w:val="en-US" w:eastAsia="zh-CN"/>
        </w:rPr>
        <w:t xml:space="preserve">test case </w:t>
      </w:r>
      <w:r w:rsidR="00E1333B">
        <w:rPr>
          <w:rFonts w:eastAsiaTheme="minorEastAsia"/>
          <w:lang w:val="en-US" w:eastAsia="zh-CN"/>
        </w:rPr>
        <w:t xml:space="preserve">is added </w:t>
      </w:r>
      <w:r>
        <w:rPr>
          <w:rFonts w:eastAsiaTheme="minorEastAsia"/>
          <w:lang w:val="en-US" w:eastAsia="zh-CN"/>
        </w:rPr>
        <w:t>in [</w:t>
      </w:r>
      <w:r w:rsidR="00E1333B">
        <w:rPr>
          <w:rFonts w:eastAsiaTheme="minorEastAsia"/>
          <w:lang w:val="en-US" w:eastAsia="zh-CN"/>
        </w:rPr>
        <w:t>5];</w:t>
      </w:r>
    </w:p>
    <w:p w14:paraId="06E0D77D" w14:textId="2FDFF12B" w:rsidR="00E1333B" w:rsidRDefault="00E1333B" w:rsidP="005826E4">
      <w:pPr>
        <w:pStyle w:val="B1"/>
        <w:rPr>
          <w:rFonts w:eastAsiaTheme="minorEastAsia" w:hint="eastAsia"/>
          <w:lang w:val="en-US" w:eastAsia="zh-CN"/>
        </w:rPr>
      </w:pPr>
      <w:r>
        <w:rPr>
          <w:rFonts w:eastAsiaTheme="minorEastAsia" w:hint="eastAsia"/>
          <w:lang w:val="en-US" w:eastAsia="zh-CN"/>
        </w:rPr>
        <w:t>-</w:t>
      </w:r>
      <w:r>
        <w:rPr>
          <w:rFonts w:eastAsiaTheme="minorEastAsia"/>
          <w:lang w:val="en-US" w:eastAsia="zh-CN"/>
        </w:rPr>
        <w:tab/>
        <w:t>several RF test cases are updated in [1]-[4];</w:t>
      </w:r>
    </w:p>
    <w:p w14:paraId="3A303CC4" w14:textId="77777777" w:rsidR="005826E4" w:rsidRDefault="005826E4" w:rsidP="005826E4">
      <w:pPr>
        <w:rPr>
          <w:rFonts w:eastAsiaTheme="minorEastAsia"/>
          <w:lang w:val="en-US" w:eastAsia="zh-CN"/>
        </w:rPr>
      </w:pPr>
      <w:r>
        <w:rPr>
          <w:rFonts w:eastAsiaTheme="minorEastAsia"/>
          <w:lang w:val="en-US" w:eastAsia="zh-CN"/>
        </w:rPr>
        <w:t>SIG Testing:</w:t>
      </w:r>
    </w:p>
    <w:p w14:paraId="6798050A" w14:textId="76F88F1E"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E1333B">
        <w:rPr>
          <w:rFonts w:eastAsiaTheme="minorEastAsia"/>
          <w:lang w:val="en-US" w:eastAsia="zh-CN"/>
        </w:rPr>
        <w:t>A</w:t>
      </w:r>
      <w:r>
        <w:rPr>
          <w:rFonts w:eastAsiaTheme="minorEastAsia"/>
          <w:lang w:val="en-US" w:eastAsia="zh-CN"/>
        </w:rPr>
        <w:t xml:space="preserv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w:t>
      </w:r>
      <w:r w:rsidR="00E1333B">
        <w:rPr>
          <w:rFonts w:eastAsiaTheme="minorEastAsia"/>
          <w:lang w:val="en-US" w:eastAsia="zh-CN"/>
        </w:rPr>
        <w:t>7</w:t>
      </w:r>
      <w:r>
        <w:rPr>
          <w:rFonts w:eastAsiaTheme="minorEastAsia"/>
          <w:lang w:val="en-US" w:eastAsia="zh-CN"/>
        </w:rPr>
        <w:t>]</w:t>
      </w:r>
    </w:p>
    <w:p w14:paraId="4E0648AB" w14:textId="700EA7E3"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w:t>
      </w:r>
      <w:r w:rsidR="00E1333B">
        <w:rPr>
          <w:rFonts w:eastAsiaTheme="minorEastAsia"/>
          <w:lang w:val="en-US" w:eastAsia="zh-CN"/>
        </w:rPr>
        <w:t>8</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1278"/>
        <w:gridCol w:w="6524"/>
        <w:gridCol w:w="1839"/>
      </w:tblGrid>
      <w:tr w:rsidR="00E1333B" w:rsidRPr="00E1333B" w14:paraId="67484B95" w14:textId="77777777" w:rsidTr="00E1333B">
        <w:trPr>
          <w:trHeight w:val="255"/>
        </w:trPr>
        <w:tc>
          <w:tcPr>
            <w:tcW w:w="276" w:type="pct"/>
          </w:tcPr>
          <w:p w14:paraId="0BEE5BF5" w14:textId="419C3097" w:rsidR="00E1333B" w:rsidRPr="00E1333B" w:rsidRDefault="00E1333B" w:rsidP="00E1333B">
            <w:pPr>
              <w:overflowPunct/>
              <w:autoSpaceDE/>
              <w:autoSpaceDN/>
              <w:snapToGrid w:val="0"/>
              <w:spacing w:after="0"/>
              <w:textAlignment w:val="auto"/>
              <w:rPr>
                <w:rFonts w:ascii="Arial" w:eastAsiaTheme="minorEastAsia" w:hAnsi="Arial" w:cs="Arial" w:hint="eastAsia"/>
                <w:bCs/>
                <w:lang w:eastAsia="zh-CN"/>
              </w:rPr>
            </w:pPr>
            <w:r>
              <w:rPr>
                <w:rFonts w:ascii="Arial" w:eastAsiaTheme="minorEastAsia" w:hAnsi="Arial" w:cs="Arial" w:hint="eastAsia"/>
                <w:bCs/>
                <w:lang w:eastAsia="zh-CN"/>
              </w:rPr>
              <w:t>[</w:t>
            </w:r>
            <w:r>
              <w:rPr>
                <w:rFonts w:ascii="Arial" w:eastAsiaTheme="minorEastAsia" w:hAnsi="Arial" w:cs="Arial"/>
                <w:bCs/>
                <w:lang w:eastAsia="zh-CN"/>
              </w:rPr>
              <w:t>1]</w:t>
            </w:r>
          </w:p>
        </w:tc>
        <w:tc>
          <w:tcPr>
            <w:tcW w:w="626" w:type="pct"/>
            <w:noWrap/>
            <w:hideMark/>
          </w:tcPr>
          <w:p w14:paraId="422705BA" w14:textId="357606C4" w:rsidR="00E1333B" w:rsidRPr="00E1333B" w:rsidRDefault="00E1333B" w:rsidP="00E1333B">
            <w:pPr>
              <w:overflowPunct/>
              <w:autoSpaceDE/>
              <w:autoSpaceDN/>
              <w:snapToGrid w:val="0"/>
              <w:spacing w:after="0"/>
              <w:textAlignment w:val="auto"/>
              <w:rPr>
                <w:rFonts w:ascii="Arial" w:hAnsi="Arial" w:cs="Arial"/>
                <w:bCs/>
                <w:lang w:val="en-US" w:eastAsia="ja-JP"/>
              </w:rPr>
            </w:pPr>
            <w:r w:rsidRPr="00E1333B">
              <w:rPr>
                <w:rFonts w:ascii="Arial" w:hAnsi="Arial" w:cs="Arial"/>
                <w:bCs/>
                <w:lang w:eastAsia="ja-JP"/>
              </w:rPr>
              <w:t>R5-233207</w:t>
            </w:r>
          </w:p>
        </w:tc>
        <w:tc>
          <w:tcPr>
            <w:tcW w:w="3197" w:type="pct"/>
            <w:hideMark/>
          </w:tcPr>
          <w:p w14:paraId="00835ADF"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blocking characteristics requirements for V2X</w:t>
            </w:r>
          </w:p>
        </w:tc>
        <w:tc>
          <w:tcPr>
            <w:tcW w:w="901" w:type="pct"/>
            <w:noWrap/>
            <w:hideMark/>
          </w:tcPr>
          <w:p w14:paraId="2BF4BECB"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5F3E4CFE" w14:textId="77777777" w:rsidTr="00E1333B">
        <w:trPr>
          <w:trHeight w:val="255"/>
        </w:trPr>
        <w:tc>
          <w:tcPr>
            <w:tcW w:w="276" w:type="pct"/>
          </w:tcPr>
          <w:p w14:paraId="0D965BB2" w14:textId="5D4C07EF"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2</w:t>
            </w:r>
            <w:r>
              <w:rPr>
                <w:rFonts w:ascii="Arial" w:eastAsiaTheme="minorEastAsia" w:hAnsi="Arial" w:cs="Arial"/>
                <w:bCs/>
                <w:lang w:eastAsia="zh-CN"/>
              </w:rPr>
              <w:t>]</w:t>
            </w:r>
          </w:p>
        </w:tc>
        <w:tc>
          <w:tcPr>
            <w:tcW w:w="626" w:type="pct"/>
            <w:noWrap/>
            <w:hideMark/>
          </w:tcPr>
          <w:p w14:paraId="5B888B2A" w14:textId="524A75CF"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R5-233210</w:t>
            </w:r>
          </w:p>
        </w:tc>
        <w:tc>
          <w:tcPr>
            <w:tcW w:w="3197" w:type="pct"/>
            <w:hideMark/>
          </w:tcPr>
          <w:p w14:paraId="2A45E588"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intermodulation characteristics requirements for V2X</w:t>
            </w:r>
          </w:p>
        </w:tc>
        <w:tc>
          <w:tcPr>
            <w:tcW w:w="901" w:type="pct"/>
            <w:noWrap/>
            <w:hideMark/>
          </w:tcPr>
          <w:p w14:paraId="536EDDC2"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6C37980B" w14:textId="77777777" w:rsidTr="00E1333B">
        <w:trPr>
          <w:trHeight w:val="255"/>
        </w:trPr>
        <w:tc>
          <w:tcPr>
            <w:tcW w:w="276" w:type="pct"/>
          </w:tcPr>
          <w:p w14:paraId="634F5911" w14:textId="3307807A"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3</w:t>
            </w:r>
            <w:r>
              <w:rPr>
                <w:rFonts w:ascii="Arial" w:eastAsiaTheme="minorEastAsia" w:hAnsi="Arial" w:cs="Arial"/>
                <w:bCs/>
                <w:lang w:eastAsia="zh-CN"/>
              </w:rPr>
              <w:t>]</w:t>
            </w:r>
          </w:p>
        </w:tc>
        <w:tc>
          <w:tcPr>
            <w:tcW w:w="626" w:type="pct"/>
            <w:noWrap/>
            <w:hideMark/>
          </w:tcPr>
          <w:p w14:paraId="741C8D3A" w14:textId="5C4878CE"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R5-233211</w:t>
            </w:r>
          </w:p>
        </w:tc>
        <w:tc>
          <w:tcPr>
            <w:tcW w:w="3197" w:type="pct"/>
            <w:hideMark/>
          </w:tcPr>
          <w:p w14:paraId="1C018E55"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NR V2X reference sensitivity test requirements</w:t>
            </w:r>
          </w:p>
        </w:tc>
        <w:tc>
          <w:tcPr>
            <w:tcW w:w="901" w:type="pct"/>
            <w:noWrap/>
            <w:hideMark/>
          </w:tcPr>
          <w:p w14:paraId="07D407B0"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195AAD3B" w14:textId="77777777" w:rsidTr="00E1333B">
        <w:trPr>
          <w:trHeight w:val="255"/>
        </w:trPr>
        <w:tc>
          <w:tcPr>
            <w:tcW w:w="276" w:type="pct"/>
          </w:tcPr>
          <w:p w14:paraId="2E8BF176" w14:textId="389992A4"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4</w:t>
            </w:r>
            <w:r>
              <w:rPr>
                <w:rFonts w:ascii="Arial" w:eastAsiaTheme="minorEastAsia" w:hAnsi="Arial" w:cs="Arial"/>
                <w:bCs/>
                <w:lang w:eastAsia="zh-CN"/>
              </w:rPr>
              <w:t>]</w:t>
            </w:r>
          </w:p>
        </w:tc>
        <w:tc>
          <w:tcPr>
            <w:tcW w:w="626" w:type="pct"/>
            <w:noWrap/>
            <w:hideMark/>
          </w:tcPr>
          <w:p w14:paraId="2BD0C52D" w14:textId="7618C008"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R5-233212</w:t>
            </w:r>
          </w:p>
        </w:tc>
        <w:tc>
          <w:tcPr>
            <w:tcW w:w="3197" w:type="pct"/>
            <w:hideMark/>
          </w:tcPr>
          <w:p w14:paraId="5810624E"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NR V2X spurious response requirements</w:t>
            </w:r>
          </w:p>
        </w:tc>
        <w:tc>
          <w:tcPr>
            <w:tcW w:w="901" w:type="pct"/>
            <w:noWrap/>
            <w:hideMark/>
          </w:tcPr>
          <w:p w14:paraId="2C4976AE"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209A4CD0" w14:textId="77777777" w:rsidTr="00E1333B">
        <w:trPr>
          <w:trHeight w:val="255"/>
        </w:trPr>
        <w:tc>
          <w:tcPr>
            <w:tcW w:w="276" w:type="pct"/>
          </w:tcPr>
          <w:p w14:paraId="280BE023" w14:textId="04EE22BA"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5</w:t>
            </w:r>
            <w:r>
              <w:rPr>
                <w:rFonts w:ascii="Arial" w:eastAsiaTheme="minorEastAsia" w:hAnsi="Arial" w:cs="Arial"/>
                <w:bCs/>
                <w:lang w:eastAsia="zh-CN"/>
              </w:rPr>
              <w:t>]</w:t>
            </w:r>
          </w:p>
        </w:tc>
        <w:tc>
          <w:tcPr>
            <w:tcW w:w="626" w:type="pct"/>
            <w:noWrap/>
            <w:hideMark/>
          </w:tcPr>
          <w:p w14:paraId="46B476DE" w14:textId="49BB0DC3"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R5-232700</w:t>
            </w:r>
          </w:p>
        </w:tc>
        <w:tc>
          <w:tcPr>
            <w:tcW w:w="3197" w:type="pct"/>
            <w:hideMark/>
          </w:tcPr>
          <w:p w14:paraId="1AA7AA28"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Addition of 6.5E.4 Transmit intermodulation for V2X</w:t>
            </w:r>
          </w:p>
        </w:tc>
        <w:tc>
          <w:tcPr>
            <w:tcW w:w="901" w:type="pct"/>
            <w:noWrap/>
            <w:hideMark/>
          </w:tcPr>
          <w:p w14:paraId="458F2C10"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TTA</w:t>
            </w:r>
          </w:p>
        </w:tc>
      </w:tr>
      <w:tr w:rsidR="00E1333B" w:rsidRPr="00E1333B" w14:paraId="3CE38617" w14:textId="77777777" w:rsidTr="00E1333B">
        <w:trPr>
          <w:trHeight w:val="255"/>
        </w:trPr>
        <w:tc>
          <w:tcPr>
            <w:tcW w:w="276" w:type="pct"/>
          </w:tcPr>
          <w:p w14:paraId="725FDAA4" w14:textId="05A11D77"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6</w:t>
            </w:r>
            <w:r>
              <w:rPr>
                <w:rFonts w:ascii="Arial" w:eastAsiaTheme="minorEastAsia" w:hAnsi="Arial" w:cs="Arial"/>
                <w:bCs/>
                <w:lang w:eastAsia="zh-CN"/>
              </w:rPr>
              <w:t>]</w:t>
            </w:r>
          </w:p>
        </w:tc>
        <w:tc>
          <w:tcPr>
            <w:tcW w:w="626" w:type="pct"/>
            <w:noWrap/>
            <w:hideMark/>
          </w:tcPr>
          <w:p w14:paraId="5A8189B9" w14:textId="6AA26093"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R5-232576</w:t>
            </w:r>
          </w:p>
        </w:tc>
        <w:tc>
          <w:tcPr>
            <w:tcW w:w="3197" w:type="pct"/>
            <w:hideMark/>
          </w:tcPr>
          <w:p w14:paraId="69B39C4B"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 xml:space="preserve">Correction to RRC IEs for NR </w:t>
            </w:r>
            <w:proofErr w:type="spellStart"/>
            <w:r w:rsidRPr="00E1333B">
              <w:rPr>
                <w:rFonts w:ascii="Arial" w:hAnsi="Arial" w:cs="Arial"/>
                <w:bCs/>
                <w:lang w:eastAsia="ja-JP"/>
              </w:rPr>
              <w:t>sidelink</w:t>
            </w:r>
            <w:proofErr w:type="spellEnd"/>
            <w:r w:rsidRPr="00E1333B">
              <w:rPr>
                <w:rFonts w:ascii="Arial" w:hAnsi="Arial" w:cs="Arial"/>
                <w:bCs/>
                <w:lang w:eastAsia="ja-JP"/>
              </w:rPr>
              <w:t xml:space="preserve"> test</w:t>
            </w:r>
          </w:p>
        </w:tc>
        <w:tc>
          <w:tcPr>
            <w:tcW w:w="901" w:type="pct"/>
            <w:noWrap/>
            <w:hideMark/>
          </w:tcPr>
          <w:p w14:paraId="5287C027"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 xml:space="preserve">Huawei, </w:t>
            </w:r>
            <w:proofErr w:type="spellStart"/>
            <w:r w:rsidRPr="00E1333B">
              <w:rPr>
                <w:rFonts w:ascii="Arial" w:hAnsi="Arial" w:cs="Arial"/>
                <w:bCs/>
                <w:lang w:eastAsia="ja-JP"/>
              </w:rPr>
              <w:t>HiSilicon</w:t>
            </w:r>
            <w:proofErr w:type="spellEnd"/>
          </w:p>
        </w:tc>
      </w:tr>
      <w:tr w:rsidR="00E1333B" w:rsidRPr="00E1333B" w14:paraId="302FD326" w14:textId="77777777" w:rsidTr="00E1333B">
        <w:trPr>
          <w:trHeight w:val="255"/>
        </w:trPr>
        <w:tc>
          <w:tcPr>
            <w:tcW w:w="276" w:type="pct"/>
          </w:tcPr>
          <w:p w14:paraId="3F2E4590" w14:textId="6CAA76CA"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7</w:t>
            </w:r>
            <w:r>
              <w:rPr>
                <w:rFonts w:ascii="Arial" w:eastAsiaTheme="minorEastAsia" w:hAnsi="Arial" w:cs="Arial"/>
                <w:bCs/>
                <w:lang w:eastAsia="zh-CN"/>
              </w:rPr>
              <w:t>]</w:t>
            </w:r>
          </w:p>
        </w:tc>
        <w:tc>
          <w:tcPr>
            <w:tcW w:w="626" w:type="pct"/>
            <w:noWrap/>
            <w:hideMark/>
          </w:tcPr>
          <w:p w14:paraId="7F9BE5BC" w14:textId="6253AD5A"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R5-232716</w:t>
            </w:r>
          </w:p>
        </w:tc>
        <w:tc>
          <w:tcPr>
            <w:tcW w:w="3197" w:type="pct"/>
            <w:hideMark/>
          </w:tcPr>
          <w:p w14:paraId="3B39FC0E"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 to NR SL SIG TC 12.2.8.3 - PC5 RLF</w:t>
            </w:r>
          </w:p>
        </w:tc>
        <w:tc>
          <w:tcPr>
            <w:tcW w:w="901" w:type="pct"/>
            <w:noWrap/>
            <w:hideMark/>
          </w:tcPr>
          <w:p w14:paraId="4BA5BC26"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TDIA, CATT</w:t>
            </w:r>
          </w:p>
        </w:tc>
      </w:tr>
      <w:tr w:rsidR="00E1333B" w:rsidRPr="00E1333B" w14:paraId="72D7ABB7" w14:textId="77777777" w:rsidTr="00E1333B">
        <w:trPr>
          <w:trHeight w:val="255"/>
        </w:trPr>
        <w:tc>
          <w:tcPr>
            <w:tcW w:w="276" w:type="pct"/>
          </w:tcPr>
          <w:p w14:paraId="5344A04B" w14:textId="7A5AE169"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8</w:t>
            </w:r>
            <w:r>
              <w:rPr>
                <w:rFonts w:ascii="Arial" w:eastAsiaTheme="minorEastAsia" w:hAnsi="Arial" w:cs="Arial"/>
                <w:bCs/>
                <w:lang w:eastAsia="zh-CN"/>
              </w:rPr>
              <w:t>]</w:t>
            </w:r>
          </w:p>
        </w:tc>
        <w:tc>
          <w:tcPr>
            <w:tcW w:w="626" w:type="pct"/>
            <w:noWrap/>
            <w:hideMark/>
          </w:tcPr>
          <w:p w14:paraId="35C42E60" w14:textId="6D2F866B"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R5-232194</w:t>
            </w:r>
          </w:p>
        </w:tc>
        <w:tc>
          <w:tcPr>
            <w:tcW w:w="3197" w:type="pct"/>
            <w:hideMark/>
          </w:tcPr>
          <w:p w14:paraId="5AB18DA8"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5G V2X: Test Model updates</w:t>
            </w:r>
          </w:p>
        </w:tc>
        <w:tc>
          <w:tcPr>
            <w:tcW w:w="901" w:type="pct"/>
            <w:noWrap/>
            <w:hideMark/>
          </w:tcPr>
          <w:p w14:paraId="57ABBF53"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MCC TF160</w:t>
            </w:r>
          </w:p>
        </w:tc>
      </w:tr>
      <w:tr w:rsidR="00E1333B" w:rsidRPr="00E1333B" w14:paraId="7505B58A" w14:textId="77777777" w:rsidTr="00E1333B">
        <w:trPr>
          <w:trHeight w:val="255"/>
        </w:trPr>
        <w:tc>
          <w:tcPr>
            <w:tcW w:w="276" w:type="pct"/>
          </w:tcPr>
          <w:p w14:paraId="748372E6" w14:textId="31D7AB59"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9]</w:t>
            </w:r>
          </w:p>
        </w:tc>
        <w:tc>
          <w:tcPr>
            <w:tcW w:w="626" w:type="pct"/>
            <w:noWrap/>
            <w:hideMark/>
          </w:tcPr>
          <w:p w14:paraId="56E38025" w14:textId="0AC64CF8"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R5-232496</w:t>
            </w:r>
          </w:p>
        </w:tc>
        <w:tc>
          <w:tcPr>
            <w:tcW w:w="3197" w:type="pct"/>
            <w:hideMark/>
          </w:tcPr>
          <w:p w14:paraId="58D598FC"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 xml:space="preserve">Discussion on </w:t>
            </w:r>
            <w:proofErr w:type="spellStart"/>
            <w:r w:rsidRPr="00E1333B">
              <w:rPr>
                <w:rFonts w:ascii="Arial" w:hAnsi="Arial" w:cs="Arial"/>
                <w:bCs/>
                <w:lang w:eastAsia="ja-JP"/>
              </w:rPr>
              <w:t>frequencyInfo</w:t>
            </w:r>
            <w:proofErr w:type="spellEnd"/>
            <w:r w:rsidRPr="00E1333B">
              <w:rPr>
                <w:rFonts w:ascii="Arial" w:hAnsi="Arial" w:cs="Arial"/>
                <w:bCs/>
                <w:lang w:eastAsia="ja-JP"/>
              </w:rPr>
              <w:t xml:space="preserve"> for NR SL RSRP measurements</w:t>
            </w:r>
          </w:p>
        </w:tc>
        <w:tc>
          <w:tcPr>
            <w:tcW w:w="901" w:type="pct"/>
            <w:noWrap/>
            <w:hideMark/>
          </w:tcPr>
          <w:p w14:paraId="64DC5DC2"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Huawei, Hisilicon</w:t>
            </w:r>
          </w:p>
        </w:tc>
      </w:tr>
      <w:tr w:rsidR="00E1333B" w:rsidRPr="00E1333B" w14:paraId="14127B63" w14:textId="77777777" w:rsidTr="00E1333B">
        <w:trPr>
          <w:trHeight w:val="255"/>
        </w:trPr>
        <w:tc>
          <w:tcPr>
            <w:tcW w:w="276" w:type="pct"/>
          </w:tcPr>
          <w:p w14:paraId="1942FA51" w14:textId="439C4713"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1</w:t>
            </w:r>
            <w:r>
              <w:rPr>
                <w:rFonts w:ascii="Arial" w:eastAsiaTheme="minorEastAsia" w:hAnsi="Arial" w:cs="Arial"/>
                <w:bCs/>
                <w:lang w:eastAsia="zh-CN"/>
              </w:rPr>
              <w:t>0</w:t>
            </w:r>
            <w:r>
              <w:rPr>
                <w:rFonts w:ascii="Arial" w:eastAsiaTheme="minorEastAsia" w:hAnsi="Arial" w:cs="Arial"/>
                <w:bCs/>
                <w:lang w:eastAsia="zh-CN"/>
              </w:rPr>
              <w:t>]</w:t>
            </w:r>
          </w:p>
        </w:tc>
        <w:tc>
          <w:tcPr>
            <w:tcW w:w="626" w:type="pct"/>
            <w:noWrap/>
            <w:hideMark/>
          </w:tcPr>
          <w:p w14:paraId="771255B5" w14:textId="71DBD338"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R5-232511</w:t>
            </w:r>
          </w:p>
        </w:tc>
        <w:tc>
          <w:tcPr>
            <w:tcW w:w="3197" w:type="pct"/>
            <w:hideMark/>
          </w:tcPr>
          <w:p w14:paraId="5C9BDEBC"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WP of Rel-16 NR V2X WI after RAN5 99</w:t>
            </w:r>
          </w:p>
        </w:tc>
        <w:tc>
          <w:tcPr>
            <w:tcW w:w="901" w:type="pct"/>
            <w:noWrap/>
            <w:hideMark/>
          </w:tcPr>
          <w:p w14:paraId="3C5E98A3"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AF7AB" w14:textId="77777777" w:rsidR="00D4379A" w:rsidRDefault="00D4379A">
      <w:r>
        <w:separator/>
      </w:r>
    </w:p>
  </w:endnote>
  <w:endnote w:type="continuationSeparator" w:id="0">
    <w:p w14:paraId="447C1F0D" w14:textId="77777777" w:rsidR="00D4379A" w:rsidRDefault="00D4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E1D0E" w14:textId="77777777" w:rsidR="00D4379A" w:rsidRDefault="00D4379A">
      <w:r>
        <w:separator/>
      </w:r>
    </w:p>
  </w:footnote>
  <w:footnote w:type="continuationSeparator" w:id="0">
    <w:p w14:paraId="56446834" w14:textId="77777777" w:rsidR="00D4379A" w:rsidRDefault="00D43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6E4"/>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4</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2018-11-20T14:54:00Z</dcterms:created>
  <dcterms:modified xsi:type="dcterms:W3CDTF">2023-05-25T23:46:00Z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(2)IWqGHxl0ES3DbQ0QJ+0c//BHP5wgOzvDZ32eXhNYMAd4ibvZLv9JLTgrhDb3gC/EiP/Nr8fT
etCA/NJTEcOic/WdUrDzyCUwSwoY7fsvLqz5aluKVsrww/OSnEkTNeovs9UUjy6pnZuIsJ/q
YP0ZzBn3xk8MhSxyrIuKNgLK1uz0ShGR2ldMyyoosVRZImshPJ/KzE3h4QxtbDJ7WaPDNfkQ
wtTlG4ZAo7X+RhsErI</vt:lpwstr>
  </property>
  <property fmtid="{D5CDD505-2E9C-101B-9397-08002B2CF9AE}" pid="11" name="_2015_ms_pID_7253431">
    <vt:lpwstr>c8X9CKSCAjoKodqQ4pBBnpQMhdlqIFKoReSGNlRSQDHe360S/76jbh
tuz1jfqQrYq4DL4CKB2tkbn2q1GKkR+lxqVQ85RsVsc4Rn9gZh0hD616P4FPAop8loV7aoqa
MR70yriDfBiUklqOqvSgMIGWDCld1f26QCv8SuwaEiMNaTStKDieTemO4YrJxIqab20=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1685056746</vt:lpwstr>
  </property>
</Properties>
</file>